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e"/>
        <w:tblW w:w="10485" w:type="dxa"/>
        <w:tblLook w:val="04A0" w:firstRow="1" w:lastRow="0" w:firstColumn="1" w:lastColumn="0" w:noHBand="0" w:noVBand="1"/>
      </w:tblPr>
      <w:tblGrid>
        <w:gridCol w:w="656"/>
        <w:gridCol w:w="1316"/>
        <w:gridCol w:w="1536"/>
        <w:gridCol w:w="5418"/>
        <w:gridCol w:w="1559"/>
      </w:tblGrid>
      <w:tr w:rsidR="00996004" w14:paraId="3365426B" w14:textId="77777777" w:rsidTr="00B82A65">
        <w:trPr>
          <w:trHeight w:val="983"/>
        </w:trPr>
        <w:tc>
          <w:tcPr>
            <w:tcW w:w="10485" w:type="dxa"/>
            <w:gridSpan w:val="5"/>
            <w:vAlign w:val="center"/>
          </w:tcPr>
          <w:p w14:paraId="5554DB13" w14:textId="0B090FF2" w:rsidR="0054046E" w:rsidRPr="00AC30CC" w:rsidRDefault="00996004" w:rsidP="00996004">
            <w:pPr>
              <w:jc w:val="center"/>
              <w:rPr>
                <w:rFonts w:ascii="黑体" w:eastAsia="黑体" w:hAnsi="黑体" w:hint="eastAsia"/>
                <w:b/>
                <w:bCs/>
                <w:sz w:val="28"/>
                <w:szCs w:val="28"/>
              </w:rPr>
            </w:pPr>
            <w:r w:rsidRPr="00AC30CC">
              <w:rPr>
                <w:rFonts w:ascii="黑体" w:eastAsia="黑体" w:hAnsi="黑体" w:hint="eastAsia"/>
                <w:b/>
                <w:bCs/>
                <w:sz w:val="28"/>
                <w:szCs w:val="28"/>
              </w:rPr>
              <w:t>期货程序化交易系统功能测试汇总表</w:t>
            </w:r>
          </w:p>
        </w:tc>
      </w:tr>
      <w:tr w:rsidR="00996004" w14:paraId="59919544" w14:textId="77777777" w:rsidTr="00996004">
        <w:tc>
          <w:tcPr>
            <w:tcW w:w="0" w:type="auto"/>
            <w:vAlign w:val="center"/>
          </w:tcPr>
          <w:p w14:paraId="4EB1C688" w14:textId="246DE17C" w:rsidR="0054046E" w:rsidRDefault="0054046E" w:rsidP="00996004">
            <w:pPr>
              <w:jc w:val="center"/>
              <w:rPr>
                <w:rFonts w:hint="eastAsia"/>
              </w:rPr>
            </w:pPr>
            <w:r>
              <w:rPr>
                <w:rFonts w:hint="eastAsia"/>
              </w:rPr>
              <w:t>序号</w:t>
            </w:r>
          </w:p>
        </w:tc>
        <w:tc>
          <w:tcPr>
            <w:tcW w:w="0" w:type="auto"/>
            <w:vAlign w:val="center"/>
          </w:tcPr>
          <w:p w14:paraId="151A2A13" w14:textId="7F56EA06" w:rsidR="0054046E" w:rsidRDefault="0054046E" w:rsidP="00996004">
            <w:pPr>
              <w:jc w:val="center"/>
              <w:rPr>
                <w:rFonts w:hint="eastAsia"/>
              </w:rPr>
            </w:pPr>
            <w:r>
              <w:rPr>
                <w:rFonts w:hint="eastAsia"/>
              </w:rPr>
              <w:t>测试项</w:t>
            </w:r>
          </w:p>
        </w:tc>
        <w:tc>
          <w:tcPr>
            <w:tcW w:w="0" w:type="auto"/>
            <w:vAlign w:val="center"/>
          </w:tcPr>
          <w:p w14:paraId="27CCC623" w14:textId="76CEEF75" w:rsidR="0054046E" w:rsidRDefault="0054046E" w:rsidP="00996004">
            <w:pPr>
              <w:jc w:val="center"/>
              <w:rPr>
                <w:rFonts w:hint="eastAsia"/>
              </w:rPr>
            </w:pPr>
            <w:r>
              <w:rPr>
                <w:rFonts w:hint="eastAsia"/>
              </w:rPr>
              <w:t>测试指标</w:t>
            </w:r>
          </w:p>
        </w:tc>
        <w:tc>
          <w:tcPr>
            <w:tcW w:w="5418" w:type="dxa"/>
            <w:vAlign w:val="center"/>
          </w:tcPr>
          <w:p w14:paraId="75D9FF22" w14:textId="4DEBC90B" w:rsidR="0054046E" w:rsidRDefault="0054046E" w:rsidP="00996004">
            <w:pPr>
              <w:jc w:val="center"/>
              <w:rPr>
                <w:rFonts w:hint="eastAsia"/>
              </w:rPr>
            </w:pPr>
            <w:r>
              <w:rPr>
                <w:rFonts w:hint="eastAsia"/>
              </w:rPr>
              <w:t>测试结果截图/日志内容</w:t>
            </w:r>
          </w:p>
        </w:tc>
        <w:tc>
          <w:tcPr>
            <w:tcW w:w="1559" w:type="dxa"/>
            <w:vAlign w:val="center"/>
          </w:tcPr>
          <w:p w14:paraId="471DB410" w14:textId="2021858E" w:rsidR="0054046E" w:rsidRDefault="0054046E" w:rsidP="00996004">
            <w:pPr>
              <w:jc w:val="center"/>
              <w:rPr>
                <w:rFonts w:hint="eastAsia"/>
              </w:rPr>
            </w:pPr>
            <w:r>
              <w:rPr>
                <w:rFonts w:hint="eastAsia"/>
              </w:rPr>
              <w:t>测试指标说明</w:t>
            </w:r>
          </w:p>
        </w:tc>
      </w:tr>
      <w:tr w:rsidR="00996004" w14:paraId="0A3695E7" w14:textId="77777777" w:rsidTr="00996004">
        <w:tc>
          <w:tcPr>
            <w:tcW w:w="0" w:type="auto"/>
            <w:vAlign w:val="center"/>
          </w:tcPr>
          <w:p w14:paraId="4118282C" w14:textId="410D5B6C" w:rsidR="0054046E" w:rsidRDefault="0054046E" w:rsidP="00996004">
            <w:pPr>
              <w:jc w:val="center"/>
              <w:rPr>
                <w:rFonts w:hint="eastAsia"/>
              </w:rPr>
            </w:pPr>
            <w:r>
              <w:rPr>
                <w:rFonts w:hint="eastAsia"/>
              </w:rPr>
              <w:t>1</w:t>
            </w:r>
          </w:p>
        </w:tc>
        <w:tc>
          <w:tcPr>
            <w:tcW w:w="0" w:type="auto"/>
            <w:vMerge w:val="restart"/>
            <w:vAlign w:val="center"/>
          </w:tcPr>
          <w:p w14:paraId="56C9EAFD" w14:textId="533A782F" w:rsidR="0054046E" w:rsidRDefault="0054046E" w:rsidP="00996004">
            <w:pPr>
              <w:jc w:val="center"/>
              <w:rPr>
                <w:rFonts w:hint="eastAsia"/>
              </w:rPr>
            </w:pPr>
            <w:r>
              <w:rPr>
                <w:rFonts w:hint="eastAsia"/>
              </w:rPr>
              <w:t>接口适应性</w:t>
            </w:r>
          </w:p>
        </w:tc>
        <w:tc>
          <w:tcPr>
            <w:tcW w:w="0" w:type="auto"/>
            <w:vAlign w:val="center"/>
          </w:tcPr>
          <w:p w14:paraId="1B48BEEF" w14:textId="456C6E96" w:rsidR="0054046E" w:rsidRDefault="0054046E" w:rsidP="00996004">
            <w:pPr>
              <w:jc w:val="center"/>
              <w:rPr>
                <w:rFonts w:hint="eastAsia"/>
              </w:rPr>
            </w:pPr>
            <w:r>
              <w:rPr>
                <w:rFonts w:hint="eastAsia"/>
              </w:rPr>
              <w:t>连通性</w:t>
            </w:r>
          </w:p>
        </w:tc>
        <w:tc>
          <w:tcPr>
            <w:tcW w:w="5418" w:type="dxa"/>
            <w:vAlign w:val="center"/>
          </w:tcPr>
          <w:p w14:paraId="50D19431" w14:textId="77777777" w:rsidR="0054046E" w:rsidRDefault="0054046E" w:rsidP="00996004">
            <w:pPr>
              <w:jc w:val="center"/>
              <w:rPr>
                <w:rFonts w:hint="eastAsia"/>
              </w:rPr>
            </w:pPr>
          </w:p>
        </w:tc>
        <w:tc>
          <w:tcPr>
            <w:tcW w:w="1559" w:type="dxa"/>
            <w:vAlign w:val="center"/>
          </w:tcPr>
          <w:p w14:paraId="132EEC94" w14:textId="1ECB12D8" w:rsidR="0054046E" w:rsidRDefault="0054046E" w:rsidP="00996004">
            <w:pPr>
              <w:jc w:val="center"/>
              <w:rPr>
                <w:rFonts w:hint="eastAsia"/>
              </w:rPr>
            </w:pPr>
            <w:r>
              <w:rPr>
                <w:rFonts w:hint="eastAsia"/>
              </w:rPr>
              <w:t>必测项目</w:t>
            </w:r>
          </w:p>
        </w:tc>
      </w:tr>
      <w:tr w:rsidR="00996004" w14:paraId="77C4CE33" w14:textId="77777777" w:rsidTr="00996004">
        <w:tc>
          <w:tcPr>
            <w:tcW w:w="0" w:type="auto"/>
            <w:vAlign w:val="center"/>
          </w:tcPr>
          <w:p w14:paraId="6B2171DE" w14:textId="387918F9" w:rsidR="0054046E" w:rsidRDefault="0054046E" w:rsidP="00996004">
            <w:pPr>
              <w:jc w:val="center"/>
              <w:rPr>
                <w:rFonts w:hint="eastAsia"/>
              </w:rPr>
            </w:pPr>
            <w:r>
              <w:rPr>
                <w:rFonts w:hint="eastAsia"/>
              </w:rPr>
              <w:t>2</w:t>
            </w:r>
          </w:p>
        </w:tc>
        <w:tc>
          <w:tcPr>
            <w:tcW w:w="0" w:type="auto"/>
            <w:vMerge/>
            <w:vAlign w:val="center"/>
          </w:tcPr>
          <w:p w14:paraId="7D1A3F44" w14:textId="77777777" w:rsidR="0054046E" w:rsidRDefault="0054046E" w:rsidP="00996004">
            <w:pPr>
              <w:jc w:val="center"/>
              <w:rPr>
                <w:rFonts w:hint="eastAsia"/>
              </w:rPr>
            </w:pPr>
          </w:p>
        </w:tc>
        <w:tc>
          <w:tcPr>
            <w:tcW w:w="0" w:type="auto"/>
            <w:vAlign w:val="center"/>
          </w:tcPr>
          <w:p w14:paraId="72FA0A03" w14:textId="7A9EB019" w:rsidR="0054046E" w:rsidRDefault="00996004" w:rsidP="00996004">
            <w:pPr>
              <w:jc w:val="center"/>
              <w:rPr>
                <w:rFonts w:hint="eastAsia"/>
              </w:rPr>
            </w:pPr>
            <w:r>
              <w:rPr>
                <w:rFonts w:hint="eastAsia"/>
              </w:rPr>
              <w:t>基础交易功能</w:t>
            </w:r>
          </w:p>
        </w:tc>
        <w:tc>
          <w:tcPr>
            <w:tcW w:w="5418" w:type="dxa"/>
            <w:vAlign w:val="center"/>
          </w:tcPr>
          <w:p w14:paraId="7D5F0E18" w14:textId="77777777" w:rsidR="0054046E" w:rsidRDefault="0054046E" w:rsidP="00996004">
            <w:pPr>
              <w:jc w:val="center"/>
              <w:rPr>
                <w:rFonts w:hint="eastAsia"/>
              </w:rPr>
            </w:pPr>
          </w:p>
        </w:tc>
        <w:tc>
          <w:tcPr>
            <w:tcW w:w="1559" w:type="dxa"/>
            <w:vAlign w:val="center"/>
          </w:tcPr>
          <w:p w14:paraId="42ACBC69" w14:textId="09B8977F" w:rsidR="0054046E" w:rsidRDefault="0054046E" w:rsidP="00996004">
            <w:pPr>
              <w:jc w:val="center"/>
              <w:rPr>
                <w:rFonts w:hint="eastAsia"/>
              </w:rPr>
            </w:pPr>
            <w:r>
              <w:rPr>
                <w:rFonts w:hint="eastAsia"/>
              </w:rPr>
              <w:t>必测项目</w:t>
            </w:r>
          </w:p>
        </w:tc>
      </w:tr>
      <w:tr w:rsidR="00996004" w14:paraId="2D715FD2" w14:textId="77777777" w:rsidTr="00996004">
        <w:tc>
          <w:tcPr>
            <w:tcW w:w="0" w:type="auto"/>
            <w:vAlign w:val="center"/>
          </w:tcPr>
          <w:p w14:paraId="5427745C" w14:textId="18BFE106" w:rsidR="0054046E" w:rsidRDefault="0054046E" w:rsidP="00996004">
            <w:pPr>
              <w:jc w:val="center"/>
              <w:rPr>
                <w:rFonts w:hint="eastAsia"/>
              </w:rPr>
            </w:pPr>
            <w:r>
              <w:rPr>
                <w:rFonts w:hint="eastAsia"/>
              </w:rPr>
              <w:t>3</w:t>
            </w:r>
          </w:p>
        </w:tc>
        <w:tc>
          <w:tcPr>
            <w:tcW w:w="0" w:type="auto"/>
            <w:vMerge w:val="restart"/>
            <w:vAlign w:val="center"/>
          </w:tcPr>
          <w:p w14:paraId="08A7D4C0" w14:textId="41098CAC" w:rsidR="0054046E" w:rsidRDefault="0054046E" w:rsidP="00996004">
            <w:pPr>
              <w:jc w:val="center"/>
              <w:rPr>
                <w:rFonts w:hint="eastAsia"/>
              </w:rPr>
            </w:pPr>
            <w:r>
              <w:rPr>
                <w:rFonts w:hint="eastAsia"/>
              </w:rPr>
              <w:t>异常监测</w:t>
            </w:r>
          </w:p>
        </w:tc>
        <w:tc>
          <w:tcPr>
            <w:tcW w:w="0" w:type="auto"/>
            <w:vAlign w:val="center"/>
          </w:tcPr>
          <w:p w14:paraId="385A98F9" w14:textId="77777777" w:rsidR="00996004" w:rsidRDefault="00996004" w:rsidP="00996004">
            <w:pPr>
              <w:jc w:val="center"/>
            </w:pPr>
            <w:r>
              <w:rPr>
                <w:rFonts w:hint="eastAsia"/>
              </w:rPr>
              <w:t>系统连接状态</w:t>
            </w:r>
          </w:p>
          <w:p w14:paraId="29998FBC" w14:textId="0E809FCD" w:rsidR="0054046E" w:rsidRDefault="00996004" w:rsidP="00996004">
            <w:pPr>
              <w:jc w:val="center"/>
              <w:rPr>
                <w:rFonts w:hint="eastAsia"/>
              </w:rPr>
            </w:pPr>
            <w:r>
              <w:rPr>
                <w:rFonts w:hint="eastAsia"/>
              </w:rPr>
              <w:t>异常监测功能</w:t>
            </w:r>
          </w:p>
        </w:tc>
        <w:tc>
          <w:tcPr>
            <w:tcW w:w="5418" w:type="dxa"/>
            <w:vAlign w:val="center"/>
          </w:tcPr>
          <w:p w14:paraId="032BEBCD" w14:textId="77777777" w:rsidR="0054046E" w:rsidRDefault="0054046E" w:rsidP="00996004">
            <w:pPr>
              <w:jc w:val="center"/>
              <w:rPr>
                <w:rFonts w:hint="eastAsia"/>
              </w:rPr>
            </w:pPr>
          </w:p>
        </w:tc>
        <w:tc>
          <w:tcPr>
            <w:tcW w:w="1559" w:type="dxa"/>
            <w:vAlign w:val="center"/>
          </w:tcPr>
          <w:p w14:paraId="4701DC68" w14:textId="099889A7" w:rsidR="0054046E" w:rsidRDefault="0054046E" w:rsidP="00996004">
            <w:pPr>
              <w:jc w:val="center"/>
              <w:rPr>
                <w:rFonts w:hint="eastAsia"/>
              </w:rPr>
            </w:pPr>
            <w:r>
              <w:rPr>
                <w:rFonts w:hint="eastAsia"/>
              </w:rPr>
              <w:t>必测项目</w:t>
            </w:r>
          </w:p>
        </w:tc>
      </w:tr>
      <w:tr w:rsidR="00996004" w14:paraId="431D6FB3" w14:textId="77777777" w:rsidTr="00996004">
        <w:tc>
          <w:tcPr>
            <w:tcW w:w="0" w:type="auto"/>
            <w:vAlign w:val="center"/>
          </w:tcPr>
          <w:p w14:paraId="7175C431" w14:textId="1428717C" w:rsidR="0054046E" w:rsidRDefault="0054046E" w:rsidP="00996004">
            <w:pPr>
              <w:jc w:val="center"/>
              <w:rPr>
                <w:rFonts w:hint="eastAsia"/>
              </w:rPr>
            </w:pPr>
            <w:r>
              <w:rPr>
                <w:rFonts w:hint="eastAsia"/>
              </w:rPr>
              <w:t>4</w:t>
            </w:r>
          </w:p>
        </w:tc>
        <w:tc>
          <w:tcPr>
            <w:tcW w:w="0" w:type="auto"/>
            <w:vMerge/>
            <w:vAlign w:val="center"/>
          </w:tcPr>
          <w:p w14:paraId="4DF481E3" w14:textId="77777777" w:rsidR="0054046E" w:rsidRDefault="0054046E" w:rsidP="00996004">
            <w:pPr>
              <w:jc w:val="center"/>
              <w:rPr>
                <w:rFonts w:hint="eastAsia"/>
              </w:rPr>
            </w:pPr>
          </w:p>
        </w:tc>
        <w:tc>
          <w:tcPr>
            <w:tcW w:w="0" w:type="auto"/>
            <w:vAlign w:val="center"/>
          </w:tcPr>
          <w:p w14:paraId="4DD51196" w14:textId="77777777" w:rsidR="00996004" w:rsidRDefault="00996004" w:rsidP="00996004">
            <w:pPr>
              <w:jc w:val="center"/>
            </w:pPr>
            <w:r>
              <w:rPr>
                <w:rFonts w:hint="eastAsia"/>
              </w:rPr>
              <w:t>报撤单笔数</w:t>
            </w:r>
          </w:p>
          <w:p w14:paraId="3827C57F" w14:textId="1845EE56" w:rsidR="0054046E" w:rsidRDefault="00996004" w:rsidP="00996004">
            <w:pPr>
              <w:jc w:val="center"/>
              <w:rPr>
                <w:rFonts w:hint="eastAsia"/>
              </w:rPr>
            </w:pPr>
            <w:r>
              <w:rPr>
                <w:rFonts w:hint="eastAsia"/>
              </w:rPr>
              <w:t>监测功能</w:t>
            </w:r>
          </w:p>
        </w:tc>
        <w:tc>
          <w:tcPr>
            <w:tcW w:w="5418" w:type="dxa"/>
            <w:vAlign w:val="center"/>
          </w:tcPr>
          <w:p w14:paraId="68D05F6B" w14:textId="77777777" w:rsidR="0054046E" w:rsidRDefault="0054046E" w:rsidP="00996004">
            <w:pPr>
              <w:jc w:val="center"/>
              <w:rPr>
                <w:rFonts w:hint="eastAsia"/>
              </w:rPr>
            </w:pPr>
          </w:p>
        </w:tc>
        <w:tc>
          <w:tcPr>
            <w:tcW w:w="1559" w:type="dxa"/>
            <w:vAlign w:val="center"/>
          </w:tcPr>
          <w:p w14:paraId="1CE97440" w14:textId="3BE58D15" w:rsidR="0054046E" w:rsidRDefault="0054046E" w:rsidP="00996004">
            <w:pPr>
              <w:jc w:val="center"/>
              <w:rPr>
                <w:rFonts w:hint="eastAsia"/>
              </w:rPr>
            </w:pPr>
            <w:r>
              <w:rPr>
                <w:rFonts w:hint="eastAsia"/>
              </w:rPr>
              <w:t>必测项目</w:t>
            </w:r>
          </w:p>
        </w:tc>
      </w:tr>
      <w:tr w:rsidR="00996004" w14:paraId="2259BA6B" w14:textId="77777777" w:rsidTr="00996004">
        <w:tc>
          <w:tcPr>
            <w:tcW w:w="0" w:type="auto"/>
            <w:vAlign w:val="center"/>
          </w:tcPr>
          <w:p w14:paraId="5B53058F" w14:textId="27DA558C" w:rsidR="0054046E" w:rsidRDefault="0054046E" w:rsidP="00996004">
            <w:pPr>
              <w:jc w:val="center"/>
              <w:rPr>
                <w:rFonts w:hint="eastAsia"/>
              </w:rPr>
            </w:pPr>
            <w:r>
              <w:rPr>
                <w:rFonts w:hint="eastAsia"/>
              </w:rPr>
              <w:t>5</w:t>
            </w:r>
          </w:p>
        </w:tc>
        <w:tc>
          <w:tcPr>
            <w:tcW w:w="0" w:type="auto"/>
            <w:vMerge/>
            <w:vAlign w:val="center"/>
          </w:tcPr>
          <w:p w14:paraId="1B092F7E" w14:textId="77777777" w:rsidR="0054046E" w:rsidRDefault="0054046E" w:rsidP="00996004">
            <w:pPr>
              <w:jc w:val="center"/>
              <w:rPr>
                <w:rFonts w:hint="eastAsia"/>
              </w:rPr>
            </w:pPr>
          </w:p>
        </w:tc>
        <w:tc>
          <w:tcPr>
            <w:tcW w:w="0" w:type="auto"/>
            <w:vAlign w:val="center"/>
          </w:tcPr>
          <w:p w14:paraId="79BA0FE9" w14:textId="77777777" w:rsidR="0054046E" w:rsidRDefault="00996004" w:rsidP="00996004">
            <w:pPr>
              <w:jc w:val="center"/>
            </w:pPr>
            <w:r>
              <w:rPr>
                <w:rFonts w:hint="eastAsia"/>
              </w:rPr>
              <w:t>重复报单</w:t>
            </w:r>
          </w:p>
          <w:p w14:paraId="4A6FC7DE" w14:textId="49130FD7" w:rsidR="00996004" w:rsidRDefault="00996004" w:rsidP="00996004">
            <w:pPr>
              <w:jc w:val="center"/>
              <w:rPr>
                <w:rFonts w:hint="eastAsia"/>
              </w:rPr>
            </w:pPr>
            <w:r>
              <w:rPr>
                <w:rFonts w:hint="eastAsia"/>
              </w:rPr>
              <w:t>监测功能</w:t>
            </w:r>
          </w:p>
        </w:tc>
        <w:tc>
          <w:tcPr>
            <w:tcW w:w="5418" w:type="dxa"/>
            <w:vAlign w:val="center"/>
          </w:tcPr>
          <w:p w14:paraId="3D537A59" w14:textId="77777777" w:rsidR="0054046E" w:rsidRDefault="0054046E" w:rsidP="00996004">
            <w:pPr>
              <w:jc w:val="center"/>
              <w:rPr>
                <w:rFonts w:hint="eastAsia"/>
              </w:rPr>
            </w:pPr>
          </w:p>
        </w:tc>
        <w:tc>
          <w:tcPr>
            <w:tcW w:w="1559" w:type="dxa"/>
            <w:vAlign w:val="center"/>
          </w:tcPr>
          <w:p w14:paraId="468974FC" w14:textId="3B5803A8" w:rsidR="0054046E" w:rsidRDefault="00996004" w:rsidP="00996004">
            <w:pPr>
              <w:jc w:val="center"/>
              <w:rPr>
                <w:rFonts w:hint="eastAsia"/>
              </w:rPr>
            </w:pPr>
            <w:proofErr w:type="gramStart"/>
            <w:r>
              <w:rPr>
                <w:rFonts w:hint="eastAsia"/>
              </w:rPr>
              <w:t>选测项目</w:t>
            </w:r>
            <w:proofErr w:type="gramEnd"/>
          </w:p>
        </w:tc>
      </w:tr>
      <w:tr w:rsidR="00996004" w14:paraId="19A24C4B" w14:textId="77777777" w:rsidTr="00996004">
        <w:tc>
          <w:tcPr>
            <w:tcW w:w="0" w:type="auto"/>
            <w:vAlign w:val="center"/>
          </w:tcPr>
          <w:p w14:paraId="675170A9" w14:textId="7E10B3D2" w:rsidR="0054046E" w:rsidRDefault="0054046E" w:rsidP="00996004">
            <w:pPr>
              <w:jc w:val="center"/>
              <w:rPr>
                <w:rFonts w:hint="eastAsia"/>
              </w:rPr>
            </w:pPr>
            <w:r>
              <w:rPr>
                <w:rFonts w:hint="eastAsia"/>
              </w:rPr>
              <w:t>6</w:t>
            </w:r>
          </w:p>
        </w:tc>
        <w:tc>
          <w:tcPr>
            <w:tcW w:w="0" w:type="auto"/>
            <w:vAlign w:val="center"/>
          </w:tcPr>
          <w:p w14:paraId="3A5C02C6" w14:textId="481CAC96" w:rsidR="0054046E" w:rsidRDefault="0054046E" w:rsidP="00996004">
            <w:pPr>
              <w:jc w:val="center"/>
              <w:rPr>
                <w:rFonts w:hint="eastAsia"/>
              </w:rPr>
            </w:pPr>
            <w:r>
              <w:rPr>
                <w:rFonts w:hint="eastAsia"/>
              </w:rPr>
              <w:t>阈值管理</w:t>
            </w:r>
          </w:p>
        </w:tc>
        <w:tc>
          <w:tcPr>
            <w:tcW w:w="0" w:type="auto"/>
            <w:vAlign w:val="center"/>
          </w:tcPr>
          <w:p w14:paraId="075EB51D" w14:textId="77777777" w:rsidR="0054046E" w:rsidRDefault="00996004" w:rsidP="00996004">
            <w:pPr>
              <w:jc w:val="center"/>
            </w:pPr>
            <w:r>
              <w:rPr>
                <w:rFonts w:hint="eastAsia"/>
              </w:rPr>
              <w:t>阈值设置及预</w:t>
            </w:r>
          </w:p>
          <w:p w14:paraId="76E337AC" w14:textId="248C20E0" w:rsidR="00996004" w:rsidRDefault="00996004" w:rsidP="00996004">
            <w:pPr>
              <w:jc w:val="center"/>
              <w:rPr>
                <w:rFonts w:hint="eastAsia"/>
              </w:rPr>
            </w:pPr>
            <w:proofErr w:type="gramStart"/>
            <w:r>
              <w:rPr>
                <w:rFonts w:hint="eastAsia"/>
              </w:rPr>
              <w:t>警功能</w:t>
            </w:r>
            <w:proofErr w:type="gramEnd"/>
          </w:p>
        </w:tc>
        <w:tc>
          <w:tcPr>
            <w:tcW w:w="5418" w:type="dxa"/>
            <w:vAlign w:val="center"/>
          </w:tcPr>
          <w:p w14:paraId="05DBC836" w14:textId="77777777" w:rsidR="0054046E" w:rsidRDefault="0054046E" w:rsidP="00996004">
            <w:pPr>
              <w:jc w:val="center"/>
              <w:rPr>
                <w:rFonts w:hint="eastAsia"/>
              </w:rPr>
            </w:pPr>
          </w:p>
        </w:tc>
        <w:tc>
          <w:tcPr>
            <w:tcW w:w="1559" w:type="dxa"/>
            <w:vAlign w:val="center"/>
          </w:tcPr>
          <w:p w14:paraId="5B9C6382" w14:textId="3EEA69C8" w:rsidR="0054046E" w:rsidRDefault="00996004" w:rsidP="00996004">
            <w:pPr>
              <w:jc w:val="center"/>
              <w:rPr>
                <w:rFonts w:hint="eastAsia"/>
              </w:rPr>
            </w:pPr>
            <w:r>
              <w:rPr>
                <w:rFonts w:hint="eastAsia"/>
              </w:rPr>
              <w:t>必测项目</w:t>
            </w:r>
          </w:p>
        </w:tc>
      </w:tr>
      <w:tr w:rsidR="00996004" w14:paraId="4AFE82CD" w14:textId="77777777" w:rsidTr="00996004">
        <w:tc>
          <w:tcPr>
            <w:tcW w:w="0" w:type="auto"/>
            <w:vAlign w:val="center"/>
          </w:tcPr>
          <w:p w14:paraId="02559977" w14:textId="61CF88EE" w:rsidR="0054046E" w:rsidRDefault="0054046E" w:rsidP="00996004">
            <w:pPr>
              <w:jc w:val="center"/>
              <w:rPr>
                <w:rFonts w:hint="eastAsia"/>
              </w:rPr>
            </w:pPr>
            <w:r>
              <w:rPr>
                <w:rFonts w:hint="eastAsia"/>
              </w:rPr>
              <w:t>7</w:t>
            </w:r>
          </w:p>
        </w:tc>
        <w:tc>
          <w:tcPr>
            <w:tcW w:w="0" w:type="auto"/>
            <w:vMerge w:val="restart"/>
            <w:vAlign w:val="center"/>
          </w:tcPr>
          <w:p w14:paraId="28ED10E5" w14:textId="18EC6014" w:rsidR="0054046E" w:rsidRDefault="0054046E" w:rsidP="00996004">
            <w:pPr>
              <w:jc w:val="center"/>
              <w:rPr>
                <w:rFonts w:hint="eastAsia"/>
              </w:rPr>
            </w:pPr>
            <w:r>
              <w:rPr>
                <w:rFonts w:hint="eastAsia"/>
              </w:rPr>
              <w:t>错误防范</w:t>
            </w:r>
          </w:p>
        </w:tc>
        <w:tc>
          <w:tcPr>
            <w:tcW w:w="0" w:type="auto"/>
            <w:vAlign w:val="center"/>
          </w:tcPr>
          <w:p w14:paraId="26DB1DD2" w14:textId="77777777" w:rsidR="00996004" w:rsidRDefault="00996004" w:rsidP="00996004">
            <w:pPr>
              <w:jc w:val="center"/>
            </w:pPr>
            <w:r>
              <w:rPr>
                <w:rFonts w:hint="eastAsia"/>
              </w:rPr>
              <w:t>交易指令检查</w:t>
            </w:r>
          </w:p>
          <w:p w14:paraId="29ADF08B" w14:textId="1CB35546" w:rsidR="0054046E" w:rsidRDefault="00996004" w:rsidP="00996004">
            <w:pPr>
              <w:jc w:val="center"/>
              <w:rPr>
                <w:rFonts w:hint="eastAsia"/>
              </w:rPr>
            </w:pPr>
            <w:r>
              <w:rPr>
                <w:rFonts w:hint="eastAsia"/>
              </w:rPr>
              <w:t>功能</w:t>
            </w:r>
          </w:p>
        </w:tc>
        <w:tc>
          <w:tcPr>
            <w:tcW w:w="5418" w:type="dxa"/>
            <w:vAlign w:val="center"/>
          </w:tcPr>
          <w:p w14:paraId="10F1DCB1" w14:textId="77777777" w:rsidR="0054046E" w:rsidRDefault="0054046E" w:rsidP="00996004">
            <w:pPr>
              <w:jc w:val="center"/>
              <w:rPr>
                <w:rFonts w:hint="eastAsia"/>
              </w:rPr>
            </w:pPr>
          </w:p>
        </w:tc>
        <w:tc>
          <w:tcPr>
            <w:tcW w:w="1559" w:type="dxa"/>
            <w:vAlign w:val="center"/>
          </w:tcPr>
          <w:p w14:paraId="29AC1DC3" w14:textId="41E8E4C3" w:rsidR="0054046E" w:rsidRDefault="00996004" w:rsidP="00996004">
            <w:pPr>
              <w:jc w:val="center"/>
              <w:rPr>
                <w:rFonts w:hint="eastAsia"/>
              </w:rPr>
            </w:pPr>
            <w:r>
              <w:rPr>
                <w:rFonts w:hint="eastAsia"/>
              </w:rPr>
              <w:t>必测项目</w:t>
            </w:r>
          </w:p>
        </w:tc>
      </w:tr>
      <w:tr w:rsidR="00996004" w14:paraId="47AA68F5" w14:textId="77777777" w:rsidTr="00996004">
        <w:tc>
          <w:tcPr>
            <w:tcW w:w="0" w:type="auto"/>
            <w:vAlign w:val="center"/>
          </w:tcPr>
          <w:p w14:paraId="20ECDED2" w14:textId="71C50639" w:rsidR="0054046E" w:rsidRDefault="0054046E" w:rsidP="00996004">
            <w:pPr>
              <w:jc w:val="center"/>
              <w:rPr>
                <w:rFonts w:hint="eastAsia"/>
              </w:rPr>
            </w:pPr>
            <w:r>
              <w:rPr>
                <w:rFonts w:hint="eastAsia"/>
              </w:rPr>
              <w:t>8</w:t>
            </w:r>
          </w:p>
        </w:tc>
        <w:tc>
          <w:tcPr>
            <w:tcW w:w="0" w:type="auto"/>
            <w:vMerge/>
            <w:vAlign w:val="center"/>
          </w:tcPr>
          <w:p w14:paraId="3A2CEACB" w14:textId="548AC5C0" w:rsidR="0054046E" w:rsidRDefault="0054046E" w:rsidP="00996004">
            <w:pPr>
              <w:jc w:val="center"/>
              <w:rPr>
                <w:rFonts w:hint="eastAsia"/>
              </w:rPr>
            </w:pPr>
          </w:p>
        </w:tc>
        <w:tc>
          <w:tcPr>
            <w:tcW w:w="0" w:type="auto"/>
            <w:vAlign w:val="center"/>
          </w:tcPr>
          <w:p w14:paraId="683832AE" w14:textId="20FF6CB5" w:rsidR="0054046E" w:rsidRDefault="00996004" w:rsidP="00996004">
            <w:pPr>
              <w:jc w:val="center"/>
              <w:rPr>
                <w:rFonts w:hint="eastAsia"/>
              </w:rPr>
            </w:pPr>
            <w:r>
              <w:rPr>
                <w:rFonts w:hint="eastAsia"/>
              </w:rPr>
              <w:t>错误提示功能</w:t>
            </w:r>
          </w:p>
        </w:tc>
        <w:tc>
          <w:tcPr>
            <w:tcW w:w="5418" w:type="dxa"/>
            <w:vAlign w:val="center"/>
          </w:tcPr>
          <w:p w14:paraId="4EFD1B3F" w14:textId="77777777" w:rsidR="0054046E" w:rsidRDefault="0054046E" w:rsidP="00996004">
            <w:pPr>
              <w:jc w:val="center"/>
              <w:rPr>
                <w:rFonts w:hint="eastAsia"/>
              </w:rPr>
            </w:pPr>
          </w:p>
        </w:tc>
        <w:tc>
          <w:tcPr>
            <w:tcW w:w="1559" w:type="dxa"/>
            <w:vAlign w:val="center"/>
          </w:tcPr>
          <w:p w14:paraId="5F0B1827" w14:textId="1E9CF524" w:rsidR="0054046E" w:rsidRDefault="00996004" w:rsidP="00996004">
            <w:pPr>
              <w:jc w:val="center"/>
              <w:rPr>
                <w:rFonts w:hint="eastAsia"/>
              </w:rPr>
            </w:pPr>
            <w:r>
              <w:rPr>
                <w:rFonts w:hint="eastAsia"/>
              </w:rPr>
              <w:t>必测项目</w:t>
            </w:r>
          </w:p>
        </w:tc>
      </w:tr>
      <w:tr w:rsidR="00996004" w14:paraId="14CCD07C" w14:textId="77777777" w:rsidTr="00996004">
        <w:tc>
          <w:tcPr>
            <w:tcW w:w="0" w:type="auto"/>
            <w:vAlign w:val="center"/>
          </w:tcPr>
          <w:p w14:paraId="6F896235" w14:textId="2E8CAAE6" w:rsidR="0054046E" w:rsidRDefault="0054046E" w:rsidP="00996004">
            <w:pPr>
              <w:jc w:val="center"/>
              <w:rPr>
                <w:rFonts w:hint="eastAsia"/>
              </w:rPr>
            </w:pPr>
            <w:r>
              <w:rPr>
                <w:rFonts w:hint="eastAsia"/>
              </w:rPr>
              <w:t>9</w:t>
            </w:r>
          </w:p>
        </w:tc>
        <w:tc>
          <w:tcPr>
            <w:tcW w:w="0" w:type="auto"/>
            <w:vMerge w:val="restart"/>
            <w:vAlign w:val="center"/>
          </w:tcPr>
          <w:p w14:paraId="048977FB" w14:textId="6AD1305B" w:rsidR="0054046E" w:rsidRDefault="0054046E" w:rsidP="00996004">
            <w:pPr>
              <w:jc w:val="center"/>
              <w:rPr>
                <w:rFonts w:hint="eastAsia"/>
              </w:rPr>
            </w:pPr>
            <w:r>
              <w:rPr>
                <w:rFonts w:hint="eastAsia"/>
              </w:rPr>
              <w:t>应急处置</w:t>
            </w:r>
          </w:p>
        </w:tc>
        <w:tc>
          <w:tcPr>
            <w:tcW w:w="0" w:type="auto"/>
            <w:vAlign w:val="center"/>
          </w:tcPr>
          <w:p w14:paraId="28CC7AE1" w14:textId="1E1FCFD4" w:rsidR="0054046E" w:rsidRDefault="00996004" w:rsidP="00996004">
            <w:pPr>
              <w:jc w:val="center"/>
              <w:rPr>
                <w:rFonts w:hint="eastAsia"/>
              </w:rPr>
            </w:pPr>
            <w:r>
              <w:rPr>
                <w:rFonts w:hint="eastAsia"/>
              </w:rPr>
              <w:t>暂停交易功能</w:t>
            </w:r>
          </w:p>
        </w:tc>
        <w:tc>
          <w:tcPr>
            <w:tcW w:w="5418" w:type="dxa"/>
            <w:vAlign w:val="center"/>
          </w:tcPr>
          <w:p w14:paraId="4792C109" w14:textId="77777777" w:rsidR="0054046E" w:rsidRDefault="0054046E" w:rsidP="00996004">
            <w:pPr>
              <w:jc w:val="center"/>
              <w:rPr>
                <w:rFonts w:hint="eastAsia"/>
              </w:rPr>
            </w:pPr>
          </w:p>
        </w:tc>
        <w:tc>
          <w:tcPr>
            <w:tcW w:w="1559" w:type="dxa"/>
            <w:vAlign w:val="center"/>
          </w:tcPr>
          <w:p w14:paraId="6404520E" w14:textId="067539ED" w:rsidR="0054046E" w:rsidRDefault="00996004" w:rsidP="00996004">
            <w:pPr>
              <w:jc w:val="center"/>
              <w:rPr>
                <w:rFonts w:hint="eastAsia"/>
              </w:rPr>
            </w:pPr>
            <w:r>
              <w:rPr>
                <w:rFonts w:hint="eastAsia"/>
              </w:rPr>
              <w:t>必测项目</w:t>
            </w:r>
          </w:p>
        </w:tc>
      </w:tr>
      <w:tr w:rsidR="00996004" w14:paraId="0C9AF3B5" w14:textId="77777777" w:rsidTr="00996004">
        <w:tc>
          <w:tcPr>
            <w:tcW w:w="0" w:type="auto"/>
            <w:vAlign w:val="center"/>
          </w:tcPr>
          <w:p w14:paraId="1066E005" w14:textId="3C3D6743" w:rsidR="0054046E" w:rsidRDefault="0054046E" w:rsidP="00996004">
            <w:pPr>
              <w:jc w:val="center"/>
              <w:rPr>
                <w:rFonts w:hint="eastAsia"/>
              </w:rPr>
            </w:pPr>
            <w:r>
              <w:rPr>
                <w:rFonts w:hint="eastAsia"/>
              </w:rPr>
              <w:t>10</w:t>
            </w:r>
          </w:p>
        </w:tc>
        <w:tc>
          <w:tcPr>
            <w:tcW w:w="0" w:type="auto"/>
            <w:vMerge/>
            <w:vAlign w:val="center"/>
          </w:tcPr>
          <w:p w14:paraId="55ACD16B" w14:textId="77777777" w:rsidR="0054046E" w:rsidRDefault="0054046E" w:rsidP="00996004">
            <w:pPr>
              <w:jc w:val="center"/>
              <w:rPr>
                <w:rFonts w:hint="eastAsia"/>
              </w:rPr>
            </w:pPr>
          </w:p>
        </w:tc>
        <w:tc>
          <w:tcPr>
            <w:tcW w:w="0" w:type="auto"/>
            <w:vAlign w:val="center"/>
          </w:tcPr>
          <w:p w14:paraId="61EAD926" w14:textId="03B8C462" w:rsidR="0054046E" w:rsidRDefault="00996004" w:rsidP="00996004">
            <w:pPr>
              <w:jc w:val="center"/>
              <w:rPr>
                <w:rFonts w:hint="eastAsia"/>
              </w:rPr>
            </w:pPr>
            <w:r>
              <w:rPr>
                <w:rFonts w:hint="eastAsia"/>
              </w:rPr>
              <w:t>批量报单功能</w:t>
            </w:r>
          </w:p>
        </w:tc>
        <w:tc>
          <w:tcPr>
            <w:tcW w:w="5418" w:type="dxa"/>
            <w:vAlign w:val="center"/>
          </w:tcPr>
          <w:p w14:paraId="09997A7F" w14:textId="77777777" w:rsidR="0054046E" w:rsidRDefault="0054046E" w:rsidP="00996004">
            <w:pPr>
              <w:jc w:val="center"/>
              <w:rPr>
                <w:rFonts w:hint="eastAsia"/>
              </w:rPr>
            </w:pPr>
          </w:p>
        </w:tc>
        <w:tc>
          <w:tcPr>
            <w:tcW w:w="1559" w:type="dxa"/>
            <w:vAlign w:val="center"/>
          </w:tcPr>
          <w:p w14:paraId="5FFD1EFF" w14:textId="6DC7902B" w:rsidR="0054046E" w:rsidRDefault="00996004" w:rsidP="00996004">
            <w:pPr>
              <w:jc w:val="center"/>
              <w:rPr>
                <w:rFonts w:hint="eastAsia"/>
              </w:rPr>
            </w:pPr>
            <w:proofErr w:type="gramStart"/>
            <w:r>
              <w:rPr>
                <w:rFonts w:hint="eastAsia"/>
              </w:rPr>
              <w:t>选测项目</w:t>
            </w:r>
            <w:proofErr w:type="gramEnd"/>
          </w:p>
        </w:tc>
      </w:tr>
      <w:tr w:rsidR="00996004" w14:paraId="38E0DE56" w14:textId="77777777" w:rsidTr="00996004">
        <w:tc>
          <w:tcPr>
            <w:tcW w:w="0" w:type="auto"/>
            <w:vAlign w:val="center"/>
          </w:tcPr>
          <w:p w14:paraId="2F841CC7" w14:textId="51BFB1EB" w:rsidR="0054046E" w:rsidRDefault="0054046E" w:rsidP="00996004">
            <w:pPr>
              <w:jc w:val="center"/>
              <w:rPr>
                <w:rFonts w:hint="eastAsia"/>
              </w:rPr>
            </w:pPr>
            <w:r>
              <w:rPr>
                <w:rFonts w:hint="eastAsia"/>
              </w:rPr>
              <w:t>11</w:t>
            </w:r>
          </w:p>
        </w:tc>
        <w:tc>
          <w:tcPr>
            <w:tcW w:w="0" w:type="auto"/>
            <w:vAlign w:val="center"/>
          </w:tcPr>
          <w:p w14:paraId="7A50D6B5" w14:textId="7184ED8C" w:rsidR="0054046E" w:rsidRDefault="0054046E" w:rsidP="00996004">
            <w:pPr>
              <w:jc w:val="center"/>
              <w:rPr>
                <w:rFonts w:hint="eastAsia"/>
              </w:rPr>
            </w:pPr>
            <w:r>
              <w:rPr>
                <w:rFonts w:hint="eastAsia"/>
              </w:rPr>
              <w:t>日志记录</w:t>
            </w:r>
          </w:p>
        </w:tc>
        <w:tc>
          <w:tcPr>
            <w:tcW w:w="0" w:type="auto"/>
            <w:vAlign w:val="center"/>
          </w:tcPr>
          <w:p w14:paraId="0A49C47C" w14:textId="19041DA4" w:rsidR="0054046E" w:rsidRDefault="00996004" w:rsidP="00996004">
            <w:pPr>
              <w:jc w:val="center"/>
              <w:rPr>
                <w:rFonts w:hint="eastAsia"/>
              </w:rPr>
            </w:pPr>
            <w:r>
              <w:rPr>
                <w:rFonts w:hint="eastAsia"/>
              </w:rPr>
              <w:t>日志记录功能</w:t>
            </w:r>
          </w:p>
        </w:tc>
        <w:tc>
          <w:tcPr>
            <w:tcW w:w="5418" w:type="dxa"/>
            <w:vAlign w:val="center"/>
          </w:tcPr>
          <w:p w14:paraId="4B037DB9" w14:textId="77777777" w:rsidR="0054046E" w:rsidRDefault="0054046E" w:rsidP="00996004">
            <w:pPr>
              <w:jc w:val="center"/>
              <w:rPr>
                <w:rFonts w:hint="eastAsia"/>
              </w:rPr>
            </w:pPr>
          </w:p>
        </w:tc>
        <w:tc>
          <w:tcPr>
            <w:tcW w:w="1559" w:type="dxa"/>
            <w:vAlign w:val="center"/>
          </w:tcPr>
          <w:p w14:paraId="5FFAF048" w14:textId="5A3BF663" w:rsidR="0054046E" w:rsidRDefault="00996004" w:rsidP="00996004">
            <w:pPr>
              <w:jc w:val="center"/>
              <w:rPr>
                <w:rFonts w:hint="eastAsia"/>
              </w:rPr>
            </w:pPr>
            <w:r>
              <w:rPr>
                <w:rFonts w:hint="eastAsia"/>
              </w:rPr>
              <w:t>必测项目</w:t>
            </w:r>
          </w:p>
        </w:tc>
      </w:tr>
    </w:tbl>
    <w:p w14:paraId="57F82CE5" w14:textId="77777777" w:rsidR="00C766B6" w:rsidRDefault="00C766B6"/>
    <w:p w14:paraId="5E9A3555" w14:textId="7D611D92" w:rsidR="00996004" w:rsidRDefault="00996004">
      <w:r>
        <w:rPr>
          <w:rFonts w:hint="eastAsia"/>
        </w:rPr>
        <w:t>附录</w:t>
      </w:r>
    </w:p>
    <w:p w14:paraId="238DA657" w14:textId="77777777" w:rsidR="00996004" w:rsidRPr="00996004" w:rsidRDefault="00996004" w:rsidP="00996004">
      <w:r w:rsidRPr="00996004">
        <w:t>测试指标</w:t>
      </w:r>
    </w:p>
    <w:p w14:paraId="0C332BFB" w14:textId="11A3488B" w:rsidR="00996004" w:rsidRPr="00996004" w:rsidRDefault="00996004" w:rsidP="00996004">
      <w:r w:rsidRPr="00996004">
        <w:t>1 接口适应性测试</w:t>
      </w:r>
    </w:p>
    <w:p w14:paraId="222AF488" w14:textId="4022C7F3" w:rsidR="00996004" w:rsidRPr="00996004" w:rsidRDefault="00996004" w:rsidP="00996004">
      <w:r w:rsidRPr="00996004">
        <w:t>1.1 连通性测试</w:t>
      </w:r>
    </w:p>
    <w:p w14:paraId="64F3CFA9" w14:textId="77777777" w:rsidR="00996004" w:rsidRPr="00996004" w:rsidRDefault="00996004" w:rsidP="00996004">
      <w:r w:rsidRPr="00996004">
        <w:t>测试要求及通过标准如下：</w:t>
      </w:r>
    </w:p>
    <w:p w14:paraId="78726075" w14:textId="588880AF" w:rsidR="00996004" w:rsidRPr="00996004" w:rsidRDefault="00996004" w:rsidP="00996004">
      <w:r w:rsidRPr="00996004">
        <w:t>a） 测试目的：检查期货程序化交易系统与交易信息系统的连通性是否正常；</w:t>
      </w:r>
    </w:p>
    <w:p w14:paraId="56EB4F14" w14:textId="733ABF33" w:rsidR="00996004" w:rsidRPr="00996004" w:rsidRDefault="00996004" w:rsidP="00996004">
      <w:r w:rsidRPr="00996004">
        <w:t>b） 测试流程：检查期货程序化交易系统是否能够通过交易信息系统认证，并进行账号登录；</w:t>
      </w:r>
    </w:p>
    <w:p w14:paraId="1C45A5BC" w14:textId="2C85FDF7" w:rsidR="00996004" w:rsidRPr="00996004" w:rsidRDefault="00996004" w:rsidP="00996004">
      <w:r w:rsidRPr="00996004">
        <w:t>c） 通过标准：基于上述测试流程，期货程序化交易系统能够通过交易信息系统认证</w:t>
      </w:r>
      <w:r>
        <w:rPr>
          <w:rFonts w:hint="eastAsia"/>
        </w:rPr>
        <w:t>，</w:t>
      </w:r>
      <w:r w:rsidRPr="00996004">
        <w:t>并完成账号登录。</w:t>
      </w:r>
    </w:p>
    <w:p w14:paraId="36F3CD40" w14:textId="115D8BBF" w:rsidR="00996004" w:rsidRPr="00996004" w:rsidRDefault="00996004" w:rsidP="00996004">
      <w:r w:rsidRPr="00996004">
        <w:t>1.2 基础交易功能测试</w:t>
      </w:r>
    </w:p>
    <w:p w14:paraId="4215F3AE" w14:textId="77777777" w:rsidR="00996004" w:rsidRPr="00996004" w:rsidRDefault="00996004" w:rsidP="00996004">
      <w:r w:rsidRPr="00996004">
        <w:t>测试要求及通过标准如下：</w:t>
      </w:r>
    </w:p>
    <w:p w14:paraId="5F323579" w14:textId="39C0A368" w:rsidR="00996004" w:rsidRPr="00996004" w:rsidRDefault="00996004" w:rsidP="00996004">
      <w:r w:rsidRPr="00996004">
        <w:t>a） 测试目的：检查期货程序化交易系统是否具备基础交易功能；</w:t>
      </w:r>
    </w:p>
    <w:p w14:paraId="243A45F0" w14:textId="2E49AD24" w:rsidR="00996004" w:rsidRPr="00996004" w:rsidRDefault="00996004" w:rsidP="00996004">
      <w:r w:rsidRPr="00996004">
        <w:t>b） 测试流程：检查期货程序化交易系统是否能够下达开平仓、撤单等交易指令</w:t>
      </w:r>
      <w:r>
        <w:rPr>
          <w:rFonts w:hint="eastAsia"/>
        </w:rPr>
        <w:t>，</w:t>
      </w:r>
      <w:r w:rsidRPr="00996004">
        <w:t>并正确处理交易信息系统回报；</w:t>
      </w:r>
    </w:p>
    <w:p w14:paraId="6A99E000" w14:textId="2B6CA634" w:rsidR="00996004" w:rsidRPr="00996004" w:rsidRDefault="00996004" w:rsidP="00996004">
      <w:r w:rsidRPr="00996004">
        <w:t>c） 通过标准：基于上述测试流程，期货程序化交易系统具备基础交易功能。</w:t>
      </w:r>
    </w:p>
    <w:p w14:paraId="0AC55C97" w14:textId="77777777" w:rsidR="00996004" w:rsidRDefault="00996004" w:rsidP="00996004"/>
    <w:p w14:paraId="6A7CA843" w14:textId="0E205E11" w:rsidR="00996004" w:rsidRPr="00996004" w:rsidRDefault="00996004" w:rsidP="00996004">
      <w:r w:rsidRPr="00996004">
        <w:t>2 异常监测</w:t>
      </w:r>
    </w:p>
    <w:p w14:paraId="4B4FF073" w14:textId="05F4745A" w:rsidR="00996004" w:rsidRPr="00996004" w:rsidRDefault="00996004" w:rsidP="00996004">
      <w:r w:rsidRPr="00996004">
        <w:lastRenderedPageBreak/>
        <w:t>2.1 系统连接状态异常监测功能</w:t>
      </w:r>
    </w:p>
    <w:p w14:paraId="54C84B03" w14:textId="77777777" w:rsidR="00996004" w:rsidRPr="00996004" w:rsidRDefault="00996004" w:rsidP="00996004">
      <w:r w:rsidRPr="00996004">
        <w:t>测试要求及通过标准如下：</w:t>
      </w:r>
    </w:p>
    <w:p w14:paraId="22F286C3" w14:textId="0230D895" w:rsidR="00996004" w:rsidRPr="00996004" w:rsidRDefault="00996004" w:rsidP="00996004">
      <w:r w:rsidRPr="00996004">
        <w:t>a） 测试目的：检查期货程序化交易系统是否具备系统连接状态监测功能；</w:t>
      </w:r>
    </w:p>
    <w:p w14:paraId="4D28A40E" w14:textId="6C371D99" w:rsidR="00996004" w:rsidRPr="00996004" w:rsidRDefault="00996004" w:rsidP="00996004">
      <w:r w:rsidRPr="00996004">
        <w:t>b） 测试流程：启动并运行期货程序化交易系统，保持系统连接状态正常；断开交易信息系统连接</w:t>
      </w:r>
      <w:r>
        <w:rPr>
          <w:rFonts w:hint="eastAsia"/>
        </w:rPr>
        <w:t>，</w:t>
      </w:r>
      <w:r w:rsidRPr="00996004">
        <w:t>检查系统是否监测到连接状态异常；重新连接交易信息系统，检查系统是否监测到连接状态恢复正常；</w:t>
      </w:r>
    </w:p>
    <w:p w14:paraId="2B2A9649" w14:textId="494D891C" w:rsidR="00996004" w:rsidRPr="00996004" w:rsidRDefault="00996004" w:rsidP="00996004">
      <w:r w:rsidRPr="00996004">
        <w:t>c） 通过标准：基于上述测试流程，期货程序化交易系统具备监测系统连接状态的功能。</w:t>
      </w:r>
    </w:p>
    <w:p w14:paraId="1BD44943" w14:textId="12F01E91" w:rsidR="00996004" w:rsidRPr="00996004" w:rsidRDefault="00996004" w:rsidP="00996004">
      <w:r w:rsidRPr="00996004">
        <w:t>2.2 报撤单笔数监测功能</w:t>
      </w:r>
    </w:p>
    <w:p w14:paraId="3A0B418B" w14:textId="77777777" w:rsidR="00996004" w:rsidRPr="00996004" w:rsidRDefault="00996004" w:rsidP="00996004">
      <w:r w:rsidRPr="00996004">
        <w:t>测试要求及通过标准如下：</w:t>
      </w:r>
    </w:p>
    <w:p w14:paraId="5CDE3FCB" w14:textId="1987CE7D" w:rsidR="00996004" w:rsidRPr="00996004" w:rsidRDefault="00996004" w:rsidP="00996004">
      <w:r w:rsidRPr="00996004">
        <w:t>a） 测试目的：检查期货程序化交易系统是否具备报撤单笔数监测功能；</w:t>
      </w:r>
    </w:p>
    <w:p w14:paraId="554247D4" w14:textId="28763294" w:rsidR="00996004" w:rsidRPr="00996004" w:rsidRDefault="00996004" w:rsidP="00996004">
      <w:r w:rsidRPr="00996004">
        <w:t>b） 测试流程：使用同一账号，通过期货程序化交易系统下达交易指令，检查期货程序化交易系统是否能够准确统计报单笔数、撤单笔数；</w:t>
      </w:r>
    </w:p>
    <w:p w14:paraId="6ACA7E3C" w14:textId="7F45BCFC" w:rsidR="00996004" w:rsidRPr="00996004" w:rsidRDefault="00996004" w:rsidP="00996004">
      <w:r w:rsidRPr="00996004">
        <w:t>c） 通过标准：基于上述测试流程，期货程序化交易系统具备报撤单笔数统计及监测的功能。</w:t>
      </w:r>
    </w:p>
    <w:p w14:paraId="7559A50D" w14:textId="31701BF7" w:rsidR="00996004" w:rsidRPr="00996004" w:rsidRDefault="00996004" w:rsidP="00996004">
      <w:r w:rsidRPr="00996004">
        <w:t>2.3 重复报单监测功能</w:t>
      </w:r>
    </w:p>
    <w:p w14:paraId="0B1DDB3D" w14:textId="77777777" w:rsidR="00996004" w:rsidRPr="00996004" w:rsidRDefault="00996004" w:rsidP="00996004">
      <w:r w:rsidRPr="00996004">
        <w:t>测试要求及通过标准如下：</w:t>
      </w:r>
    </w:p>
    <w:p w14:paraId="13705BD9" w14:textId="34ED957E" w:rsidR="00996004" w:rsidRPr="00996004" w:rsidRDefault="00996004" w:rsidP="00996004">
      <w:r w:rsidRPr="00996004">
        <w:t>a） 测试目的：检查期货程序化交易系统是否具备重复报单监测功能；</w:t>
      </w:r>
    </w:p>
    <w:p w14:paraId="58805F82" w14:textId="0889D23F" w:rsidR="00996004" w:rsidRPr="00996004" w:rsidRDefault="00996004" w:rsidP="00996004">
      <w:r w:rsidRPr="00996004">
        <w:t>b） 测试流程：使用同一账号，通过期货程序化交易系统对某一合约重复下达买卖方向、委托数量、委托价格均相同的交易指令，检查期货程序化交易系统是否能够监测到重复报单笔数；</w:t>
      </w:r>
    </w:p>
    <w:p w14:paraId="4FDCE999" w14:textId="67AA0FD6" w:rsidR="00996004" w:rsidRPr="00996004" w:rsidRDefault="00996004" w:rsidP="00996004">
      <w:r w:rsidRPr="00996004">
        <w:t>c） 通过标准：基于上述测试流程，期货程序化交易系统具备监测重复报单的功能。</w:t>
      </w:r>
    </w:p>
    <w:p w14:paraId="14C9BBE7" w14:textId="77777777" w:rsidR="00996004" w:rsidRDefault="00996004" w:rsidP="00996004"/>
    <w:p w14:paraId="68FA7795" w14:textId="48DB0132" w:rsidR="00996004" w:rsidRPr="00996004" w:rsidRDefault="00996004" w:rsidP="00996004">
      <w:r w:rsidRPr="00996004">
        <w:t>3 阈值管理</w:t>
      </w:r>
    </w:p>
    <w:p w14:paraId="6BCA89A2" w14:textId="1A3A4425" w:rsidR="00996004" w:rsidRPr="00996004" w:rsidRDefault="00996004" w:rsidP="00996004">
      <w:r w:rsidRPr="00996004">
        <w:t>3.1 阈值设置及预警功能</w:t>
      </w:r>
    </w:p>
    <w:p w14:paraId="540F0B61" w14:textId="77777777" w:rsidR="00996004" w:rsidRPr="00996004" w:rsidRDefault="00996004" w:rsidP="00996004">
      <w:r w:rsidRPr="00996004">
        <w:t>测试要求及通过标准如下：</w:t>
      </w:r>
    </w:p>
    <w:p w14:paraId="60346812" w14:textId="66E8BDC3" w:rsidR="00996004" w:rsidRPr="00996004" w:rsidRDefault="00996004" w:rsidP="00996004">
      <w:r w:rsidRPr="00996004">
        <w:t>a） 测试目的：检查期货程序化交易系统是否能够根据风险控制需要设置指标阈值</w:t>
      </w:r>
      <w:r>
        <w:rPr>
          <w:rFonts w:hint="eastAsia"/>
        </w:rPr>
        <w:t>，</w:t>
      </w:r>
      <w:r w:rsidRPr="00996004">
        <w:t>并在指标达到或超过设置阈值后进行预警。指标至少能够满足 5.2 异常监测需要；</w:t>
      </w:r>
    </w:p>
    <w:p w14:paraId="55896097" w14:textId="34474823" w:rsidR="00996004" w:rsidRPr="00996004" w:rsidRDefault="00996004" w:rsidP="00996004">
      <w:r w:rsidRPr="00996004">
        <w:t>b） 测试流程：检查期货程序化交易系统是否能够设置报单笔数、撤单笔数、重复报单笔数等指标阈值；设置指标阈值后，使用期货程序化交易系统进行交易，当监测指标达到或超过设置阈值时</w:t>
      </w:r>
      <w:r>
        <w:rPr>
          <w:rFonts w:hint="eastAsia"/>
        </w:rPr>
        <w:t>，</w:t>
      </w:r>
      <w:r w:rsidRPr="00996004">
        <w:t>检查期货程序化交易系统是否能够通过一种或多种方式进行预警，预警方式包括但不</w:t>
      </w:r>
      <w:proofErr w:type="gramStart"/>
      <w:r w:rsidRPr="00996004">
        <w:t>限于弹窗提示</w:t>
      </w:r>
      <w:proofErr w:type="gramEnd"/>
      <w:r w:rsidRPr="00996004">
        <w:t>、声音提示、短信或邮件通知；</w:t>
      </w:r>
    </w:p>
    <w:p w14:paraId="124B69D5" w14:textId="63F980C5" w:rsidR="00996004" w:rsidRPr="00996004" w:rsidRDefault="00996004" w:rsidP="00996004">
      <w:r w:rsidRPr="00996004">
        <w:t>c） 通过标准：基于上述测试流程，期货程序化交易系统具备指标阈值设置的功能，并在指标达到或超过设置阈值后进行预警。</w:t>
      </w:r>
    </w:p>
    <w:p w14:paraId="51BB9CD2" w14:textId="77777777" w:rsidR="00996004" w:rsidRDefault="00996004" w:rsidP="00996004"/>
    <w:p w14:paraId="7227D636" w14:textId="052AB057" w:rsidR="00996004" w:rsidRPr="00996004" w:rsidRDefault="00996004" w:rsidP="00996004">
      <w:r w:rsidRPr="00996004">
        <w:t>4 错误防范</w:t>
      </w:r>
    </w:p>
    <w:p w14:paraId="7D51BA8B" w14:textId="257C0C5E" w:rsidR="00996004" w:rsidRPr="00996004" w:rsidRDefault="00996004" w:rsidP="00996004">
      <w:r w:rsidRPr="00996004">
        <w:lastRenderedPageBreak/>
        <w:t>4.1 交易指令检查功能</w:t>
      </w:r>
    </w:p>
    <w:p w14:paraId="436E5A1C" w14:textId="77777777" w:rsidR="00996004" w:rsidRPr="00996004" w:rsidRDefault="00996004" w:rsidP="00996004">
      <w:r w:rsidRPr="00996004">
        <w:t>测试要求及通过标准如下：</w:t>
      </w:r>
    </w:p>
    <w:p w14:paraId="7B83C87F" w14:textId="786D4D85" w:rsidR="00996004" w:rsidRPr="00996004" w:rsidRDefault="00996004" w:rsidP="00996004">
      <w:r w:rsidRPr="00996004">
        <w:t>a） 测试目的：检查期货程序化交易系统是否具备交易指令检查功能，防范下达错误交易指令；</w:t>
      </w:r>
    </w:p>
    <w:p w14:paraId="3A6CE5CA" w14:textId="1FE72CBB" w:rsidR="00996004" w:rsidRPr="00996004" w:rsidRDefault="00996004" w:rsidP="00996004">
      <w:r w:rsidRPr="00996004">
        <w:t>b） 测试流程： 使用期货程序化交易系统持续下达错误交易指令，检查期货程序化交易系统是否能够对交易指令进行检查，检查内容包括但不限于合约代码、合约最小变动价位、单笔委托</w:t>
      </w:r>
      <w:proofErr w:type="gramStart"/>
      <w:r w:rsidRPr="00996004">
        <w:t>最大手</w:t>
      </w:r>
      <w:proofErr w:type="gramEnd"/>
      <w:r w:rsidRPr="00996004">
        <w:t>数。当交易指令出现上述错误时，检查期货程序化交易系统是否能够拒绝下达错误交易指令；</w:t>
      </w:r>
    </w:p>
    <w:p w14:paraId="7EB83F96" w14:textId="12C55304" w:rsidR="00996004" w:rsidRPr="00996004" w:rsidRDefault="00996004" w:rsidP="00996004">
      <w:r w:rsidRPr="00996004">
        <w:t>c） 通过标准：基于上述测试流程，期货程序化交易系统具备交易指令检查</w:t>
      </w:r>
      <w:proofErr w:type="gramStart"/>
      <w:r w:rsidRPr="00996004">
        <w:t>及拒绝</w:t>
      </w:r>
      <w:proofErr w:type="gramEnd"/>
      <w:r w:rsidRPr="00996004">
        <w:t>错误交易指令下达的功能。</w:t>
      </w:r>
    </w:p>
    <w:p w14:paraId="7D6C4916" w14:textId="77777777" w:rsidR="00996004" w:rsidRPr="00996004" w:rsidRDefault="00996004" w:rsidP="00996004">
      <w:r w:rsidRPr="00996004">
        <w:t>5.4.2 错误提示功能</w:t>
      </w:r>
    </w:p>
    <w:p w14:paraId="3E3CCAE7" w14:textId="77777777" w:rsidR="00996004" w:rsidRPr="00996004" w:rsidRDefault="00996004" w:rsidP="00996004">
      <w:r w:rsidRPr="00996004">
        <w:t>测试要求及通过标准如下：</w:t>
      </w:r>
    </w:p>
    <w:p w14:paraId="3D40C7C6" w14:textId="723D3087" w:rsidR="00996004" w:rsidRPr="00996004" w:rsidRDefault="00996004" w:rsidP="00996004">
      <w:r w:rsidRPr="00996004">
        <w:t>a） 测试目的：检查期货程序化交易系统是否具备接收交易所、交易信息系统返回错误提示的功能；</w:t>
      </w:r>
    </w:p>
    <w:p w14:paraId="793CD82F" w14:textId="1A8BBD0B" w:rsidR="00996004" w:rsidRPr="00996004" w:rsidRDefault="00996004" w:rsidP="00996004">
      <w:r w:rsidRPr="00996004">
        <w:t>b） 测试流程：检查期货程序化交易系统是否能够接收并显示交易所、交易信息系统返回的错误提示信息， 如无足够资金开仓、无</w:t>
      </w:r>
      <w:proofErr w:type="gramStart"/>
      <w:r w:rsidRPr="00996004">
        <w:t>仓位</w:t>
      </w:r>
      <w:proofErr w:type="gramEnd"/>
      <w:r w:rsidRPr="00996004">
        <w:t>可平</w:t>
      </w:r>
      <w:r w:rsidR="00B82A65">
        <w:rPr>
          <w:rFonts w:hint="eastAsia"/>
        </w:rPr>
        <w:t>、</w:t>
      </w:r>
      <w:r w:rsidRPr="00996004">
        <w:t>市场状态不允许等；</w:t>
      </w:r>
    </w:p>
    <w:p w14:paraId="2E3E7A70" w14:textId="50B0D478" w:rsidR="00996004" w:rsidRPr="00996004" w:rsidRDefault="00996004" w:rsidP="00996004">
      <w:r w:rsidRPr="00996004">
        <w:t>c） 通过标准：基于上述测试流程，期货程序化交易系统具备接收并展示错误提示信息的功能。</w:t>
      </w:r>
    </w:p>
    <w:p w14:paraId="4E8E8609" w14:textId="77777777" w:rsidR="00B82A65" w:rsidRDefault="00B82A65" w:rsidP="00996004"/>
    <w:p w14:paraId="2DEBDBCD" w14:textId="39B42224" w:rsidR="00996004" w:rsidRPr="00996004" w:rsidRDefault="00996004" w:rsidP="00996004">
      <w:r w:rsidRPr="00996004">
        <w:t>5 应急处置</w:t>
      </w:r>
    </w:p>
    <w:p w14:paraId="4C5C1B64" w14:textId="1DC21534" w:rsidR="00996004" w:rsidRPr="00996004" w:rsidRDefault="00996004" w:rsidP="00996004">
      <w:r w:rsidRPr="00996004">
        <w:t>5.1 暂停交易功能</w:t>
      </w:r>
    </w:p>
    <w:p w14:paraId="0493B5F4" w14:textId="77777777" w:rsidR="00996004" w:rsidRPr="00996004" w:rsidRDefault="00996004" w:rsidP="00996004">
      <w:r w:rsidRPr="00996004">
        <w:t>测试要求及通过标准如下：</w:t>
      </w:r>
    </w:p>
    <w:p w14:paraId="31B81753" w14:textId="6BB4DFF0" w:rsidR="00996004" w:rsidRPr="00996004" w:rsidRDefault="00996004" w:rsidP="00996004">
      <w:r w:rsidRPr="00996004">
        <w:t>a）测试目的：检查期货程序化交易系统是否具备手动或自动暂停下达交易指令功能；</w:t>
      </w:r>
    </w:p>
    <w:p w14:paraId="7E63A224" w14:textId="01E50511" w:rsidR="00996004" w:rsidRPr="00996004" w:rsidRDefault="00996004" w:rsidP="00996004">
      <w:r w:rsidRPr="00996004">
        <w:t>b）测试流程：使用期货程序化交易系统通过一种或多种方式停止交易指令下达，检查期货程序化交易系统是否能够立即暂停下达交易指令，暂停交易方式包括但不限于暂停交易策略执行、限制账号交易权限、 强制账号登出；</w:t>
      </w:r>
    </w:p>
    <w:p w14:paraId="4F503ADC" w14:textId="7D863F9E" w:rsidR="00996004" w:rsidRPr="00996004" w:rsidRDefault="00996004" w:rsidP="00996004">
      <w:r w:rsidRPr="00996004">
        <w:t>c） 通过标准：基于上述测试流程，期货程序化交易系统具备手动或自动暂停交易指令下达的功能。</w:t>
      </w:r>
    </w:p>
    <w:p w14:paraId="53EEE675" w14:textId="0F31BA3A" w:rsidR="00996004" w:rsidRPr="00996004" w:rsidRDefault="00996004" w:rsidP="00996004">
      <w:r w:rsidRPr="00996004">
        <w:t>5.2 批量撤单功能</w:t>
      </w:r>
    </w:p>
    <w:p w14:paraId="0F0BFCDC" w14:textId="77777777" w:rsidR="00996004" w:rsidRPr="00996004" w:rsidRDefault="00996004" w:rsidP="00996004">
      <w:r w:rsidRPr="00996004">
        <w:t>测试要求及通过标准如下：</w:t>
      </w:r>
    </w:p>
    <w:p w14:paraId="59F03C0B" w14:textId="22438DAE" w:rsidR="00996004" w:rsidRPr="00996004" w:rsidRDefault="00996004" w:rsidP="00996004">
      <w:r w:rsidRPr="00996004">
        <w:t>a） 测试目的：检查期货程序化交易系统是否具备批量撤单功能；</w:t>
      </w:r>
    </w:p>
    <w:p w14:paraId="703C4DB5" w14:textId="30C526B4" w:rsidR="00996004" w:rsidRPr="00996004" w:rsidRDefault="00996004" w:rsidP="00996004">
      <w:r w:rsidRPr="00996004">
        <w:t>b） 测试流程：使用期货程序化交易系统同时对部分或全部未成交的委托单进行撤单操作，检查期货程序化交易系统是否能够按照指令撤销未成交的委托单；</w:t>
      </w:r>
    </w:p>
    <w:p w14:paraId="547DFF2E" w14:textId="166A8309" w:rsidR="00996004" w:rsidRPr="00996004" w:rsidRDefault="00996004" w:rsidP="00996004">
      <w:r w:rsidRPr="00996004">
        <w:t>c） 通过标准：基于上述测试流程，期货程序化交易系统具备批量撤单功能。</w:t>
      </w:r>
    </w:p>
    <w:p w14:paraId="04995054" w14:textId="77777777" w:rsidR="00B82A65" w:rsidRDefault="00B82A65" w:rsidP="00996004"/>
    <w:p w14:paraId="00B36D3E" w14:textId="31EDA32A" w:rsidR="00996004" w:rsidRPr="00996004" w:rsidRDefault="00996004" w:rsidP="00996004">
      <w:r w:rsidRPr="00996004">
        <w:t>6 日志记录</w:t>
      </w:r>
    </w:p>
    <w:p w14:paraId="7E729BB7" w14:textId="0AB7380B" w:rsidR="00996004" w:rsidRPr="00996004" w:rsidRDefault="00996004" w:rsidP="00996004">
      <w:r w:rsidRPr="00996004">
        <w:t>6.1 日志记录功能</w:t>
      </w:r>
    </w:p>
    <w:p w14:paraId="0DCCC487" w14:textId="77777777" w:rsidR="00996004" w:rsidRPr="00996004" w:rsidRDefault="00996004" w:rsidP="00996004">
      <w:r w:rsidRPr="00996004">
        <w:lastRenderedPageBreak/>
        <w:t>测试要求及通过标准如下：</w:t>
      </w:r>
    </w:p>
    <w:p w14:paraId="039C369A" w14:textId="08AB5516" w:rsidR="00996004" w:rsidRPr="00996004" w:rsidRDefault="00996004" w:rsidP="00996004">
      <w:r w:rsidRPr="00996004">
        <w:t>a） 测试目的：检查期货程序化交易系统是否具备日志记录功能；</w:t>
      </w:r>
    </w:p>
    <w:p w14:paraId="1AE77755" w14:textId="136DCCDD" w:rsidR="00996004" w:rsidRPr="00996004" w:rsidRDefault="00996004" w:rsidP="00996004">
      <w:r w:rsidRPr="00996004">
        <w:t>b） 测试流程：检查期货程序化交易系统是否具备日志记录功能</w:t>
      </w:r>
      <w:r w:rsidR="00B82A65">
        <w:rPr>
          <w:rFonts w:hint="eastAsia"/>
        </w:rPr>
        <w:t>，</w:t>
      </w:r>
      <w:r w:rsidRPr="00996004">
        <w:t>记录内容包括但不限于交易日志、系统运行记录、监测记录</w:t>
      </w:r>
      <w:r w:rsidR="00B82A65">
        <w:rPr>
          <w:rFonts w:hint="eastAsia"/>
        </w:rPr>
        <w:t>、</w:t>
      </w:r>
      <w:r w:rsidRPr="00996004">
        <w:t>错误提示记录；</w:t>
      </w:r>
    </w:p>
    <w:p w14:paraId="698BCCF5" w14:textId="36E32E7D" w:rsidR="00996004" w:rsidRDefault="00996004" w:rsidP="00996004">
      <w:pPr>
        <w:rPr>
          <w:rFonts w:hint="eastAsia"/>
        </w:rPr>
      </w:pPr>
      <w:r w:rsidRPr="00996004">
        <w:t>c） 通过标准：基于上述测试流程，期货程序化交易系统具备日志记录功能，且能够满足业务追溯需要。</w:t>
      </w:r>
    </w:p>
    <w:sectPr w:rsidR="00996004" w:rsidSect="0054046E">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B08"/>
    <w:rsid w:val="002B01E4"/>
    <w:rsid w:val="00353354"/>
    <w:rsid w:val="0054046E"/>
    <w:rsid w:val="00996004"/>
    <w:rsid w:val="00AC30CC"/>
    <w:rsid w:val="00B82A65"/>
    <w:rsid w:val="00C766B6"/>
    <w:rsid w:val="00DE1B08"/>
    <w:rsid w:val="00FE4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73738"/>
  <w15:chartTrackingRefBased/>
  <w15:docId w15:val="{5941C274-0A42-456C-932A-384E2087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B0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E1B0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E1B0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E1B08"/>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DE1B08"/>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DE1B08"/>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DE1B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B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B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B0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E1B0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E1B0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E1B08"/>
    <w:rPr>
      <w:rFonts w:cstheme="majorBidi"/>
      <w:color w:val="0F4761" w:themeColor="accent1" w:themeShade="BF"/>
      <w:sz w:val="28"/>
      <w:szCs w:val="28"/>
    </w:rPr>
  </w:style>
  <w:style w:type="character" w:customStyle="1" w:styleId="50">
    <w:name w:val="标题 5 字符"/>
    <w:basedOn w:val="a0"/>
    <w:link w:val="5"/>
    <w:uiPriority w:val="9"/>
    <w:semiHidden/>
    <w:rsid w:val="00DE1B08"/>
    <w:rPr>
      <w:rFonts w:cstheme="majorBidi"/>
      <w:color w:val="0F4761" w:themeColor="accent1" w:themeShade="BF"/>
      <w:sz w:val="24"/>
    </w:rPr>
  </w:style>
  <w:style w:type="character" w:customStyle="1" w:styleId="60">
    <w:name w:val="标题 6 字符"/>
    <w:basedOn w:val="a0"/>
    <w:link w:val="6"/>
    <w:uiPriority w:val="9"/>
    <w:semiHidden/>
    <w:rsid w:val="00DE1B08"/>
    <w:rPr>
      <w:rFonts w:cstheme="majorBidi"/>
      <w:b/>
      <w:bCs/>
      <w:color w:val="0F4761" w:themeColor="accent1" w:themeShade="BF"/>
    </w:rPr>
  </w:style>
  <w:style w:type="character" w:customStyle="1" w:styleId="70">
    <w:name w:val="标题 7 字符"/>
    <w:basedOn w:val="a0"/>
    <w:link w:val="7"/>
    <w:uiPriority w:val="9"/>
    <w:semiHidden/>
    <w:rsid w:val="00DE1B08"/>
    <w:rPr>
      <w:rFonts w:cstheme="majorBidi"/>
      <w:b/>
      <w:bCs/>
      <w:color w:val="595959" w:themeColor="text1" w:themeTint="A6"/>
    </w:rPr>
  </w:style>
  <w:style w:type="character" w:customStyle="1" w:styleId="80">
    <w:name w:val="标题 8 字符"/>
    <w:basedOn w:val="a0"/>
    <w:link w:val="8"/>
    <w:uiPriority w:val="9"/>
    <w:semiHidden/>
    <w:rsid w:val="00DE1B08"/>
    <w:rPr>
      <w:rFonts w:cstheme="majorBidi"/>
      <w:color w:val="595959" w:themeColor="text1" w:themeTint="A6"/>
    </w:rPr>
  </w:style>
  <w:style w:type="character" w:customStyle="1" w:styleId="90">
    <w:name w:val="标题 9 字符"/>
    <w:basedOn w:val="a0"/>
    <w:link w:val="9"/>
    <w:uiPriority w:val="9"/>
    <w:semiHidden/>
    <w:rsid w:val="00DE1B08"/>
    <w:rPr>
      <w:rFonts w:eastAsiaTheme="majorEastAsia" w:cstheme="majorBidi"/>
      <w:color w:val="595959" w:themeColor="text1" w:themeTint="A6"/>
    </w:rPr>
  </w:style>
  <w:style w:type="paragraph" w:styleId="a3">
    <w:name w:val="Title"/>
    <w:basedOn w:val="a"/>
    <w:next w:val="a"/>
    <w:link w:val="a4"/>
    <w:uiPriority w:val="10"/>
    <w:qFormat/>
    <w:rsid w:val="00DE1B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B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B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B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B08"/>
    <w:pPr>
      <w:spacing w:before="160"/>
      <w:jc w:val="center"/>
    </w:pPr>
    <w:rPr>
      <w:i/>
      <w:iCs/>
      <w:color w:val="404040" w:themeColor="text1" w:themeTint="BF"/>
    </w:rPr>
  </w:style>
  <w:style w:type="character" w:customStyle="1" w:styleId="a8">
    <w:name w:val="引用 字符"/>
    <w:basedOn w:val="a0"/>
    <w:link w:val="a7"/>
    <w:uiPriority w:val="29"/>
    <w:rsid w:val="00DE1B08"/>
    <w:rPr>
      <w:i/>
      <w:iCs/>
      <w:color w:val="404040" w:themeColor="text1" w:themeTint="BF"/>
    </w:rPr>
  </w:style>
  <w:style w:type="paragraph" w:styleId="a9">
    <w:name w:val="List Paragraph"/>
    <w:basedOn w:val="a"/>
    <w:uiPriority w:val="34"/>
    <w:qFormat/>
    <w:rsid w:val="00DE1B08"/>
    <w:pPr>
      <w:ind w:left="720"/>
      <w:contextualSpacing/>
    </w:pPr>
  </w:style>
  <w:style w:type="character" w:styleId="aa">
    <w:name w:val="Intense Emphasis"/>
    <w:basedOn w:val="a0"/>
    <w:uiPriority w:val="21"/>
    <w:qFormat/>
    <w:rsid w:val="00DE1B08"/>
    <w:rPr>
      <w:i/>
      <w:iCs/>
      <w:color w:val="0F4761" w:themeColor="accent1" w:themeShade="BF"/>
    </w:rPr>
  </w:style>
  <w:style w:type="paragraph" w:styleId="ab">
    <w:name w:val="Intense Quote"/>
    <w:basedOn w:val="a"/>
    <w:next w:val="a"/>
    <w:link w:val="ac"/>
    <w:uiPriority w:val="30"/>
    <w:qFormat/>
    <w:rsid w:val="00DE1B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E1B08"/>
    <w:rPr>
      <w:i/>
      <w:iCs/>
      <w:color w:val="0F4761" w:themeColor="accent1" w:themeShade="BF"/>
    </w:rPr>
  </w:style>
  <w:style w:type="character" w:styleId="ad">
    <w:name w:val="Intense Reference"/>
    <w:basedOn w:val="a0"/>
    <w:uiPriority w:val="32"/>
    <w:qFormat/>
    <w:rsid w:val="00DE1B08"/>
    <w:rPr>
      <w:b/>
      <w:bCs/>
      <w:smallCaps/>
      <w:color w:val="0F4761" w:themeColor="accent1" w:themeShade="BF"/>
      <w:spacing w:val="5"/>
    </w:rPr>
  </w:style>
  <w:style w:type="table" w:styleId="ae">
    <w:name w:val="Table Grid"/>
    <w:basedOn w:val="a1"/>
    <w:uiPriority w:val="39"/>
    <w:rsid w:val="00540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waigor@163.com</dc:creator>
  <cp:keywords/>
  <dc:description/>
  <cp:lastModifiedBy>waigor@163.com</cp:lastModifiedBy>
  <cp:revision>2</cp:revision>
  <dcterms:created xsi:type="dcterms:W3CDTF">2025-09-30T09:25:00Z</dcterms:created>
  <dcterms:modified xsi:type="dcterms:W3CDTF">2025-09-30T10:50:00Z</dcterms:modified>
</cp:coreProperties>
</file>